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27" w:rsidRPr="00E46180" w:rsidRDefault="004C5E13" w:rsidP="00E46180">
      <w:pPr>
        <w:pStyle w:val="Heading1"/>
        <w:jc w:val="center"/>
        <w:rPr>
          <w:rFonts w:eastAsia="Times New Roman"/>
          <w:sz w:val="32"/>
          <w:lang w:eastAsia="en-AU"/>
        </w:rPr>
      </w:pPr>
      <w:r w:rsidRPr="00E46180">
        <w:rPr>
          <w:rFonts w:eastAsia="Times New Roman"/>
          <w:sz w:val="32"/>
          <w:lang w:eastAsia="en-AU"/>
        </w:rPr>
        <w:t xml:space="preserve">TELEHEALTH </w:t>
      </w:r>
      <w:r w:rsidR="00E46180">
        <w:rPr>
          <w:rFonts w:eastAsia="Times New Roman"/>
          <w:sz w:val="32"/>
          <w:lang w:eastAsia="en-AU"/>
        </w:rPr>
        <w:t>VIDEO INVESTMENT DECISION SUPPORT TOOL</w:t>
      </w:r>
    </w:p>
    <w:p w:rsidR="00647A10" w:rsidRPr="00E46180" w:rsidRDefault="00647A10" w:rsidP="00E46180">
      <w:pPr>
        <w:pStyle w:val="Heading2"/>
        <w:rPr>
          <w:rFonts w:eastAsia="Times New Roman"/>
          <w:lang w:eastAsia="en-AU"/>
        </w:rPr>
      </w:pPr>
      <w:r w:rsidRPr="00E46180">
        <w:rPr>
          <w:rFonts w:eastAsia="Times New Roman"/>
          <w:lang w:eastAsia="en-AU"/>
        </w:rPr>
        <w:t>Introduction</w:t>
      </w:r>
    </w:p>
    <w:p w:rsidR="00647A10" w:rsidRPr="00E46180" w:rsidRDefault="00647A10" w:rsidP="00E46180">
      <w:p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The telehealth video solution investment</w:t>
      </w:r>
      <w:r w:rsidR="00E46180"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decision support tool is designed to help you differentiate between</w:t>
      </w:r>
      <w:r w:rsidR="00E46180"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several cloud hosted video conferencing solutions. Guided through a</w:t>
      </w:r>
      <w:r w:rsidR="00E46180"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series of questions you will be presented with the functionalities of a</w:t>
      </w:r>
      <w:r w:rsidR="00E46180"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variety of solutions which match your stated requirements.</w:t>
      </w:r>
    </w:p>
    <w:p w:rsidR="00E46180" w:rsidRPr="00E46180" w:rsidRDefault="00E4618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647A10" w:rsidRPr="00E46180" w:rsidRDefault="00647A1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The support tool contains 2 sections: </w:t>
      </w:r>
      <w:r w:rsidRPr="00E46180">
        <w:rPr>
          <w:rFonts w:ascii="Arial" w:eastAsia="Times New Roman" w:hAnsi="Arial" w:cs="Arial"/>
          <w:b/>
          <w:sz w:val="24"/>
          <w:szCs w:val="24"/>
          <w:lang w:eastAsia="en-AU"/>
        </w:rPr>
        <w:t>Technology Constraints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and </w:t>
      </w:r>
      <w:r w:rsidRPr="00E46180">
        <w:rPr>
          <w:rFonts w:ascii="Arial" w:eastAsia="Times New Roman" w:hAnsi="Arial" w:cs="Arial"/>
          <w:b/>
          <w:sz w:val="24"/>
          <w:szCs w:val="24"/>
          <w:lang w:eastAsia="en-AU"/>
        </w:rPr>
        <w:t>User</w:t>
      </w:r>
      <w:r w:rsidR="00E46180" w:rsidRPr="00E46180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b/>
          <w:sz w:val="24"/>
          <w:szCs w:val="24"/>
          <w:lang w:eastAsia="en-AU"/>
        </w:rPr>
        <w:t>Requirements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:rsidR="00E46180" w:rsidRPr="00E46180" w:rsidRDefault="00E4618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647A10" w:rsidRPr="00E46180" w:rsidRDefault="00647A1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You should start by re</w:t>
      </w:r>
      <w:r w:rsidR="00E46180">
        <w:rPr>
          <w:rFonts w:ascii="Arial" w:eastAsia="Times New Roman" w:hAnsi="Arial" w:cs="Arial"/>
          <w:sz w:val="24"/>
          <w:szCs w:val="24"/>
          <w:lang w:eastAsia="en-AU"/>
        </w:rPr>
        <w:t xml:space="preserve">ading the important information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about the video solutions and the key assumptions about the use of </w:t>
      </w:r>
      <w:r w:rsidR="00E46180">
        <w:rPr>
          <w:rFonts w:ascii="Arial" w:eastAsia="Times New Roman" w:hAnsi="Arial" w:cs="Arial"/>
          <w:sz w:val="24"/>
          <w:szCs w:val="24"/>
          <w:lang w:eastAsia="en-AU"/>
        </w:rPr>
        <w:t>t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elehealth in your environment prior to completing the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questionnaire. You will be 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g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uided through 13 multiple choice questions. In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order to appropriately complete this tool, you will need to engage with the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IT specialist(s) in your organisation (you may wish to print off the questions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and ask your IT specialist to provide their input).</w:t>
      </w:r>
    </w:p>
    <w:p w:rsidR="00E46180" w:rsidRPr="00E46180" w:rsidRDefault="00E4618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647A10" w:rsidRPr="00E46180" w:rsidRDefault="00647A1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The answers will be defaulted to </w:t>
      </w:r>
      <w:r w:rsidRPr="00E46180">
        <w:rPr>
          <w:rFonts w:ascii="Arial" w:eastAsia="Times New Roman" w:hAnsi="Arial" w:cs="Arial"/>
          <w:b/>
          <w:sz w:val="24"/>
          <w:szCs w:val="24"/>
          <w:u w:val="single"/>
          <w:lang w:eastAsia="en-AU"/>
        </w:rPr>
        <w:t>No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, so if you are unsure of the answer it is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best to leave the answer as </w:t>
      </w:r>
      <w:r w:rsidRPr="00E46180">
        <w:rPr>
          <w:rFonts w:ascii="Arial" w:eastAsia="Times New Roman" w:hAnsi="Arial" w:cs="Arial"/>
          <w:b/>
          <w:sz w:val="24"/>
          <w:szCs w:val="24"/>
          <w:u w:val="single"/>
          <w:lang w:eastAsia="en-AU"/>
        </w:rPr>
        <w:t>No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. This increases the number of relevant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solutions that will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appear at the end.</w:t>
      </w:r>
    </w:p>
    <w:p w:rsidR="00E46180" w:rsidRPr="00E46180" w:rsidRDefault="00E4618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647A10" w:rsidRPr="00E46180" w:rsidRDefault="00647A1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You can download the questions as a Microsoft Word document, or begin</w:t>
      </w:r>
    </w:p>
    <w:p w:rsidR="00647A10" w:rsidRPr="00E46180" w:rsidRDefault="00647A1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answering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them online by clicking on the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proceed to questionnaire button.</w:t>
      </w:r>
    </w:p>
    <w:p w:rsidR="00E46180" w:rsidRPr="00E46180" w:rsidRDefault="00E4618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647A10" w:rsidRPr="00E46180" w:rsidRDefault="00647A1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b/>
          <w:sz w:val="24"/>
          <w:szCs w:val="24"/>
          <w:lang w:eastAsia="en-AU"/>
        </w:rPr>
        <w:t>Please note: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The data drawn on to create this tool was assembled from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various sources at the time of publishing. Solutions provided by this tool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are common cloud based video solutions used to support telehealth video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consulting in Victoria. This tool is to be used as a guide only, and we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strongly recommend you perform your own due diligence and user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acceptance testing on trial versions prior to purchasing.</w:t>
      </w:r>
    </w:p>
    <w:p w:rsidR="00E46180" w:rsidRDefault="00E46180" w:rsidP="00E461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br w:type="page"/>
      </w:r>
    </w:p>
    <w:p w:rsidR="00647A10" w:rsidRPr="00E46180" w:rsidRDefault="00647A10" w:rsidP="00E46180">
      <w:pPr>
        <w:pStyle w:val="Heading2"/>
        <w:rPr>
          <w:rFonts w:eastAsia="Times New Roman"/>
          <w:lang w:eastAsia="en-AU"/>
        </w:rPr>
      </w:pPr>
      <w:r w:rsidRPr="00E46180">
        <w:rPr>
          <w:rFonts w:eastAsia="Times New Roman"/>
          <w:lang w:eastAsia="en-AU"/>
        </w:rPr>
        <w:lastRenderedPageBreak/>
        <w:t>Important information about</w:t>
      </w:r>
      <w:r w:rsidR="00E46180">
        <w:rPr>
          <w:rFonts w:eastAsia="Times New Roman"/>
          <w:lang w:eastAsia="en-AU"/>
        </w:rPr>
        <w:t xml:space="preserve"> </w:t>
      </w:r>
      <w:r w:rsidRPr="00E46180">
        <w:rPr>
          <w:rFonts w:eastAsia="Times New Roman"/>
          <w:lang w:eastAsia="en-AU"/>
        </w:rPr>
        <w:t>the video solutions</w:t>
      </w:r>
    </w:p>
    <w:p w:rsidR="00E46180" w:rsidRDefault="00647A10" w:rsidP="00E461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All solutions explored here are compliant with a Windows desktop, Apple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iOS and Android operating systems.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E46180" w:rsidRDefault="00647A10" w:rsidP="00E461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All solutions presented here allow appointments to be made by sending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an email with a link to join the meeting.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E46180" w:rsidRDefault="00647A10" w:rsidP="00E461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All solutions provide encryption of the video conferencing session to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increase privacy and security.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E46180" w:rsidRDefault="00647A10" w:rsidP="00E461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All solutions have the capability to pre-plan meetings/consultations in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advance.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647A10" w:rsidRPr="00E46180" w:rsidRDefault="00647A10" w:rsidP="00E461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No solutions require the guest end user to create an account.</w:t>
      </w:r>
    </w:p>
    <w:p w:rsidR="00647A10" w:rsidRPr="00E46180" w:rsidRDefault="00647A10" w:rsidP="00E46180">
      <w:pPr>
        <w:pStyle w:val="Heading2"/>
        <w:rPr>
          <w:rFonts w:eastAsia="Times New Roman"/>
          <w:lang w:eastAsia="en-AU"/>
        </w:rPr>
      </w:pPr>
      <w:r w:rsidRPr="00E46180">
        <w:rPr>
          <w:rFonts w:eastAsia="Times New Roman"/>
          <w:lang w:eastAsia="en-AU"/>
        </w:rPr>
        <w:t>Key assumptions about the</w:t>
      </w:r>
      <w:r w:rsidR="00E46180">
        <w:rPr>
          <w:rFonts w:eastAsia="Times New Roman"/>
          <w:lang w:eastAsia="en-AU"/>
        </w:rPr>
        <w:t xml:space="preserve"> </w:t>
      </w:r>
      <w:r w:rsidRPr="00E46180">
        <w:rPr>
          <w:rFonts w:eastAsia="Times New Roman"/>
          <w:lang w:eastAsia="en-AU"/>
        </w:rPr>
        <w:t>use of telehealth in your</w:t>
      </w:r>
      <w:r w:rsidR="00E46180">
        <w:rPr>
          <w:rFonts w:eastAsia="Times New Roman"/>
          <w:lang w:eastAsia="en-AU"/>
        </w:rPr>
        <w:t xml:space="preserve"> </w:t>
      </w:r>
      <w:r w:rsidRPr="00E46180">
        <w:rPr>
          <w:rFonts w:eastAsia="Times New Roman"/>
          <w:lang w:eastAsia="en-AU"/>
        </w:rPr>
        <w:t>environment</w:t>
      </w:r>
    </w:p>
    <w:p w:rsidR="00E46180" w:rsidRDefault="00647A10" w:rsidP="00E46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Access to clinical systems will be required from the same device being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used for video consulting (Please note: the number and type of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applications you have running at the same time may affect the quality of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your video experience).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E46180" w:rsidRDefault="00647A10" w:rsidP="00E46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It is common best practice for hospital computers to be locked down to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prevent unauthorised downloading of software or applications. Most staff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will generally need to consult their IT department for assistance to install a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plugin or application.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647A10" w:rsidRPr="00E46180" w:rsidRDefault="00647A10" w:rsidP="00E46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E46180">
        <w:rPr>
          <w:rFonts w:ascii="Arial" w:eastAsia="Times New Roman" w:hAnsi="Arial" w:cs="Arial"/>
          <w:sz w:val="24"/>
          <w:szCs w:val="24"/>
          <w:lang w:eastAsia="en-AU"/>
        </w:rPr>
        <w:t>Whilst some vendors may not comply explicitly with cloud solutions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hosted in Australia (i.e. data sovereignty), they can comply by customers</w:t>
      </w:r>
      <w:r w:rsidR="00E46180" w:rsidRPr="00E46180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E46180">
        <w:rPr>
          <w:rFonts w:ascii="Arial" w:eastAsia="Times New Roman" w:hAnsi="Arial" w:cs="Arial"/>
          <w:sz w:val="24"/>
          <w:szCs w:val="24"/>
          <w:lang w:eastAsia="en-AU"/>
        </w:rPr>
        <w:t>hosting their solution internally. However this is out of scope for this tool.</w:t>
      </w:r>
    </w:p>
    <w:p w:rsidR="00647A10" w:rsidRPr="00E46180" w:rsidRDefault="00647A10" w:rsidP="00647A10">
      <w:p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E46180" w:rsidRDefault="00E46180" w:rsidP="00F26BED">
      <w:pPr>
        <w:pStyle w:val="ListParagraph"/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br w:type="page"/>
      </w:r>
    </w:p>
    <w:tbl>
      <w:tblPr>
        <w:tblStyle w:val="LightGrid"/>
        <w:tblW w:w="10598" w:type="dxa"/>
        <w:tblLayout w:type="fixed"/>
        <w:tblLook w:val="04A0" w:firstRow="1" w:lastRow="0" w:firstColumn="1" w:lastColumn="0" w:noHBand="0" w:noVBand="1"/>
      </w:tblPr>
      <w:tblGrid>
        <w:gridCol w:w="9039"/>
        <w:gridCol w:w="850"/>
        <w:gridCol w:w="709"/>
      </w:tblGrid>
      <w:tr w:rsidR="004C5E13" w:rsidTr="00F26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95B3D7" w:themeFill="accent1" w:themeFillTint="99"/>
            <w:vAlign w:val="center"/>
          </w:tcPr>
          <w:p w:rsidR="004C5E13" w:rsidRPr="009852BB" w:rsidRDefault="009852BB" w:rsidP="00EB2B6E">
            <w:pPr>
              <w:spacing w:before="24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852B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lastRenderedPageBreak/>
              <w:t>TECHNOLOGY CONSTRAINTS</w:t>
            </w:r>
          </w:p>
        </w:tc>
        <w:tc>
          <w:tcPr>
            <w:tcW w:w="1559" w:type="dxa"/>
            <w:gridSpan w:val="2"/>
            <w:shd w:val="clear" w:color="auto" w:fill="95B3D7" w:themeFill="accent1" w:themeFillTint="99"/>
            <w:vAlign w:val="center"/>
          </w:tcPr>
          <w:p w:rsidR="009852BB" w:rsidRPr="009852BB" w:rsidRDefault="004C5E13" w:rsidP="00EB2B6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852B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ANSWER</w:t>
            </w:r>
          </w:p>
        </w:tc>
      </w:tr>
      <w:tr w:rsidR="004C5E13" w:rsidTr="00005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D9D9D9" w:themeFill="background1" w:themeFillShade="D9"/>
          </w:tcPr>
          <w:p w:rsidR="004C5E13" w:rsidRPr="009852BB" w:rsidRDefault="00EB2B6E" w:rsidP="00EB2B6E">
            <w:pPr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Q1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. 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Is it an essential requirement that the video software has standard reports that allow monitoring of usage?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4C5E13" w:rsidTr="000057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:rsidR="004C5E13" w:rsidRPr="009852BB" w:rsidRDefault="00EB2B6E" w:rsidP="00EB2B6E">
            <w:pPr>
              <w:autoSpaceDE w:val="0"/>
              <w:autoSpaceDN w:val="0"/>
              <w:adjustRightInd w:val="0"/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Q2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. </w:t>
            </w:r>
            <w:r w:rsidRPr="00EB2B6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Do you require the monitoring of performance of the system including any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 </w:t>
            </w:r>
            <w:r w:rsidRPr="00EB2B6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problems that may have occurred?</w:t>
            </w:r>
          </w:p>
        </w:tc>
        <w:tc>
          <w:tcPr>
            <w:tcW w:w="850" w:type="dxa"/>
          </w:tcPr>
          <w:p w:rsidR="004C5E13" w:rsidRDefault="004C5E13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</w:tcPr>
          <w:p w:rsidR="004C5E13" w:rsidRDefault="004C5E13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4C5E13" w:rsidTr="00F2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B2B6E" w:rsidRPr="009852BB" w:rsidRDefault="00EB2B6E" w:rsidP="00EB2B6E">
            <w:pPr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Q3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. 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Is it essential that the Vendor of </w:t>
            </w:r>
            <w:r w:rsidR="004C5E13" w:rsidRPr="009852BB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the software offers support via 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B2B6E" w:rsidRDefault="00EB2B6E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EB2B6E" w:rsidRDefault="00EB2B6E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F26BED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6BED" w:rsidRPr="00EB2B6E" w:rsidRDefault="00F26BED" w:rsidP="00F26BED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852BB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Email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6BED" w:rsidRDefault="00F26BED" w:rsidP="00F26BED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6BED" w:rsidRDefault="00F26BED" w:rsidP="00F26BED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EB2B6E" w:rsidTr="00F2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B2B6E" w:rsidRDefault="00EB2B6E" w:rsidP="00F26BED">
            <w:pP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Phone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B2B6E" w:rsidRDefault="00EB2B6E" w:rsidP="00F26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EB2B6E" w:rsidRDefault="00EB2B6E" w:rsidP="00F26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4C5E13" w:rsidTr="00611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FFFFFF" w:themeFill="background1"/>
          </w:tcPr>
          <w:p w:rsidR="004C5E13" w:rsidRPr="009852BB" w:rsidRDefault="00EB2B6E" w:rsidP="00EB2B6E">
            <w:pPr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Q4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. 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Is it essential that the Vendor has a support service that is accessible within Australian business hours (i.e. 9am-5pm)</w:t>
            </w:r>
          </w:p>
        </w:tc>
        <w:tc>
          <w:tcPr>
            <w:tcW w:w="850" w:type="dxa"/>
            <w:shd w:val="clear" w:color="auto" w:fill="FFFFFF" w:themeFill="background1"/>
          </w:tcPr>
          <w:p w:rsidR="004C5E13" w:rsidRDefault="004C5E13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:rsidR="004C5E13" w:rsidRDefault="004C5E13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4C5E13" w:rsidTr="00F2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:rsidR="004C5E13" w:rsidRDefault="00EB2B6E" w:rsidP="00EB2B6E">
            <w:pPr>
              <w:autoSpaceDE w:val="0"/>
              <w:autoSpaceDN w:val="0"/>
              <w:adjustRightInd w:val="0"/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Q5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. </w:t>
            </w:r>
            <w:r w:rsidRPr="00EB2B6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Is it essential that the solution can co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nnect with Polycom "hard wired" </w:t>
            </w:r>
            <w:r w:rsidRPr="00EB2B6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telehealth video solution units found in some hospitals?</w:t>
            </w:r>
          </w:p>
          <w:p w:rsidR="00EB2B6E" w:rsidRPr="009852BB" w:rsidRDefault="00EB2B6E" w:rsidP="00EB2B6E">
            <w:pPr>
              <w:autoSpaceDE w:val="0"/>
              <w:autoSpaceDN w:val="0"/>
              <w:adjustRightInd w:val="0"/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Please note: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 These units may be located in  meeting rooms or lecture theatres within the health organisation.</w:t>
            </w:r>
          </w:p>
        </w:tc>
        <w:tc>
          <w:tcPr>
            <w:tcW w:w="850" w:type="dxa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4C5E13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FFFFFF" w:themeFill="background1"/>
          </w:tcPr>
          <w:p w:rsidR="004C5E13" w:rsidRDefault="00EB2B6E" w:rsidP="00EB2B6E">
            <w:pPr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Q6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. 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Is it essential that the solution interoperates with Cisco "hard wired" </w:t>
            </w:r>
            <w:r w:rsidR="008D73F9" w:rsidRPr="008D73F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telehealth video solution</w:t>
            </w:r>
            <w:r w:rsidR="008D73F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 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units?</w:t>
            </w:r>
          </w:p>
          <w:p w:rsidR="00EB2B6E" w:rsidRPr="009852BB" w:rsidRDefault="00EB2B6E" w:rsidP="00EB2B6E">
            <w:pPr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Please note: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 These units may be located in  meeting rooms or lecture theatres within the health organisation.</w:t>
            </w:r>
          </w:p>
        </w:tc>
        <w:tc>
          <w:tcPr>
            <w:tcW w:w="850" w:type="dxa"/>
            <w:shd w:val="clear" w:color="auto" w:fill="FFFFFF" w:themeFill="background1"/>
          </w:tcPr>
          <w:p w:rsidR="004C5E13" w:rsidRDefault="004C5E13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:rsidR="004C5E13" w:rsidRDefault="004C5E13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4C5E13" w:rsidTr="00005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</w:tcPr>
          <w:p w:rsidR="00EB2B6E" w:rsidRPr="009852BB" w:rsidRDefault="00EB2B6E" w:rsidP="00EB2B6E">
            <w:pPr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Q7.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 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Is it essential that the vendor can guarantee the solution is hosted on servers located in Australia (i.e. data sovereignty - held under Australian law)?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br/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br/>
            </w:r>
            <w:r w:rsidR="004C5E13" w:rsidRPr="00EB2B6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Please Note: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 Vendors may not comply explicitly with cloud solutions hosted in Australia and will be eliminated from the results as they 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can only comply by </w:t>
            </w:r>
            <w:r w:rsidR="004C5E13"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the customer hosting their solution internally.</w:t>
            </w:r>
          </w:p>
        </w:tc>
        <w:tc>
          <w:tcPr>
            <w:tcW w:w="850" w:type="dxa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9852BB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852BB" w:rsidRPr="009852BB" w:rsidRDefault="009852BB" w:rsidP="00EB2B6E">
            <w:pPr>
              <w:spacing w:before="24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All solutions can host meetings from some Desktop and Mobile devices b</w:t>
            </w:r>
            <w:r w:rsidR="00F26BED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ut the user interface may vary. </w:t>
            </w:r>
            <w:r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In addition to the Windows desktop, Apple iOS and Android environments, is it essential that the software solution is supported on the following alternate desktop and mobile operating systems: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4C5E13" w:rsidTr="00005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C5E13" w:rsidRPr="00F75B8C" w:rsidRDefault="004C5E13" w:rsidP="00EB2B6E">
            <w:pPr>
              <w:spacing w:before="240"/>
              <w:ind w:firstLineChars="200" w:firstLine="48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</w:t>
            </w: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</w:t>
            </w:r>
            <w:r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Mac OS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C5E13" w:rsidRDefault="004C5E13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9852BB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852BB" w:rsidRPr="009852BB" w:rsidRDefault="009852BB" w:rsidP="00EB2B6E">
            <w:pPr>
              <w:spacing w:before="240"/>
              <w:ind w:firstLineChars="200" w:firstLine="480"/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</w:pP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</w:t>
            </w: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</w:t>
            </w:r>
            <w:r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Linux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9852BB" w:rsidTr="00F2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852BB" w:rsidRPr="009852BB" w:rsidRDefault="009852BB" w:rsidP="00EB2B6E">
            <w:pPr>
              <w:spacing w:before="240"/>
              <w:ind w:firstLineChars="200" w:firstLine="480"/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</w:pP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</w:t>
            </w: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</w:t>
            </w:r>
            <w:r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Blackberry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9852BB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852BB" w:rsidRPr="009852BB" w:rsidRDefault="009852BB" w:rsidP="00EB2B6E">
            <w:pPr>
              <w:spacing w:before="240"/>
              <w:ind w:firstLineChars="200" w:firstLine="480"/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</w:pP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</w:t>
            </w:r>
            <w:r w:rsidRPr="00F75B8C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</w:t>
            </w:r>
            <w:r w:rsidRPr="00F75B8C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Windows Mobile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852BB" w:rsidRDefault="009852BB" w:rsidP="00EB2B6E">
            <w:pPr>
              <w:spacing w:before="2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</w:tbl>
    <w:p w:rsidR="00C85F53" w:rsidRDefault="00C85F53">
      <w:pPr>
        <w:rPr>
          <w:rFonts w:ascii="Arial" w:eastAsia="Times New Roman" w:hAnsi="Arial" w:cs="Arial"/>
          <w:sz w:val="24"/>
          <w:szCs w:val="24"/>
          <w:lang w:eastAsia="en-AU"/>
        </w:rPr>
      </w:pPr>
      <w:bookmarkStart w:id="0" w:name="_GoBack"/>
      <w:bookmarkEnd w:id="0"/>
    </w:p>
    <w:tbl>
      <w:tblPr>
        <w:tblStyle w:val="LightGrid"/>
        <w:tblW w:w="10598" w:type="dxa"/>
        <w:tblLayout w:type="fixed"/>
        <w:tblLook w:val="04A0" w:firstRow="1" w:lastRow="0" w:firstColumn="1" w:lastColumn="0" w:noHBand="0" w:noVBand="1"/>
      </w:tblPr>
      <w:tblGrid>
        <w:gridCol w:w="8897"/>
        <w:gridCol w:w="850"/>
        <w:gridCol w:w="851"/>
      </w:tblGrid>
      <w:tr w:rsidR="009055F9" w:rsidTr="00F26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shd w:val="clear" w:color="auto" w:fill="95B3D7" w:themeFill="accent1" w:themeFillTint="99"/>
            <w:vAlign w:val="center"/>
          </w:tcPr>
          <w:p w:rsidR="009055F9" w:rsidRPr="009852BB" w:rsidRDefault="009055F9" w:rsidP="009055F9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lastRenderedPageBreak/>
              <w:t>USER QUESTIONS</w:t>
            </w:r>
          </w:p>
        </w:tc>
        <w:tc>
          <w:tcPr>
            <w:tcW w:w="1701" w:type="dxa"/>
            <w:gridSpan w:val="2"/>
            <w:shd w:val="clear" w:color="auto" w:fill="95B3D7" w:themeFill="accent1" w:themeFillTint="99"/>
            <w:vAlign w:val="center"/>
          </w:tcPr>
          <w:p w:rsidR="009055F9" w:rsidRPr="009852BB" w:rsidRDefault="009055F9" w:rsidP="00905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9852B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ANSWER</w:t>
            </w:r>
          </w:p>
        </w:tc>
      </w:tr>
      <w:tr w:rsidR="009055F9" w:rsidTr="00F2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846BB9" w:rsidRPr="00846BB9" w:rsidRDefault="00846BB9" w:rsidP="00077B4E">
            <w:pPr>
              <w:spacing w:before="240" w:line="276" w:lineRule="auto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Do you require uploading/downloading of documents to the recipient whilst undertaking the Video Consultation?</w:t>
            </w: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br/>
              <w:t>If yes</w:t>
            </w:r>
            <w:r w:rsidR="00077B4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, what formats are these documents in</w:t>
            </w: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:rsidR="009055F9" w:rsidRPr="00846BB9" w:rsidRDefault="009055F9" w:rsidP="00F26B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:rsidR="009055F9" w:rsidRPr="00846BB9" w:rsidRDefault="009055F9" w:rsidP="00F26B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846BB9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ind w:firstLineChars="200" w:firstLine="48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846BB9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</w:t>
            </w:r>
            <w:r w:rsidRPr="00846BB9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</w:t>
            </w:r>
            <w:r w:rsidR="00077B4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Microsoft P</w:t>
            </w: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owerPoint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846BB9" w:rsidTr="00F2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ind w:firstLineChars="200" w:firstLine="48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846BB9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</w:t>
            </w:r>
            <w:r w:rsidRPr="00846BB9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</w:t>
            </w: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P</w:t>
            </w:r>
            <w:r w:rsidR="00077B4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ortable </w:t>
            </w: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D</w:t>
            </w:r>
            <w:r w:rsidR="00077B4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ocument </w:t>
            </w: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F</w:t>
            </w:r>
            <w:r w:rsidR="00077B4E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ormat (PDF)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846BB9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ind w:firstLineChars="200" w:firstLine="48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846BB9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</w:t>
            </w:r>
            <w:r w:rsidRPr="00846BB9">
              <w:rPr>
                <w:rFonts w:ascii="Wingdings 2" w:eastAsia="Times New Roman" w:hAnsi="Wingdings 2" w:cs="Arial"/>
                <w:b w:val="0"/>
                <w:sz w:val="24"/>
                <w:szCs w:val="24"/>
                <w:lang w:eastAsia="en-AU"/>
              </w:rPr>
              <w:t></w:t>
            </w: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Microsoft word documents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846BB9" w:rsidTr="00077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shd w:val="clear" w:color="auto" w:fill="D9D9D9" w:themeFill="background1" w:themeFillShade="D9"/>
            <w:vAlign w:val="center"/>
          </w:tcPr>
          <w:p w:rsidR="00846BB9" w:rsidRPr="00846BB9" w:rsidRDefault="00F26BED" w:rsidP="00F26BE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F26BED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Do you require having "screen share" privileges whilst undertaking the video consultation in order for the recipient to see your screen or so you can see their screen? E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.</w:t>
            </w:r>
            <w:r w:rsidRPr="00F26BED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g. Allowing you to share test results displayed in clinical software.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846BB9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vAlign w:val="center"/>
          </w:tcPr>
          <w:p w:rsidR="00846BB9" w:rsidRPr="00846BB9" w:rsidRDefault="00846BB9" w:rsidP="00F26BED">
            <w:pPr>
              <w:spacing w:line="276" w:lineRule="auto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 xml:space="preserve">High Definition (HD) Video is considered very good quality and requires more bandwidth. Is HD video required? </w:t>
            </w:r>
          </w:p>
        </w:tc>
        <w:tc>
          <w:tcPr>
            <w:tcW w:w="850" w:type="dxa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846BB9" w:rsidTr="00F2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shd w:val="clear" w:color="auto" w:fill="D9D9D9" w:themeFill="background1" w:themeFillShade="D9"/>
            <w:vAlign w:val="center"/>
          </w:tcPr>
          <w:p w:rsidR="00846BB9" w:rsidRPr="00846BB9" w:rsidRDefault="00846BB9" w:rsidP="00846BB9">
            <w:pPr>
              <w:spacing w:line="276" w:lineRule="auto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It is assumed that all users participate via video and audio, not just audio. However, some solutions offer a dial in number as a backup should the audio connection fail or an attendee is unable to join using video. Do you require a solution that offers a telephone dial in number?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  <w:tr w:rsidR="00846BB9" w:rsidTr="00F26B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vAlign w:val="center"/>
          </w:tcPr>
          <w:p w:rsidR="00846BB9" w:rsidRPr="00846BB9" w:rsidRDefault="00846BB9" w:rsidP="00846BB9">
            <w:pPr>
              <w:spacing w:line="276" w:lineRule="auto"/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b w:val="0"/>
                <w:sz w:val="24"/>
                <w:szCs w:val="24"/>
                <w:lang w:eastAsia="en-AU"/>
              </w:rPr>
              <w:t>Do you expect to have more than 25 recipients in one video call?</w:t>
            </w:r>
          </w:p>
        </w:tc>
        <w:tc>
          <w:tcPr>
            <w:tcW w:w="850" w:type="dxa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YES</w:t>
            </w:r>
          </w:p>
        </w:tc>
        <w:tc>
          <w:tcPr>
            <w:tcW w:w="851" w:type="dxa"/>
            <w:vAlign w:val="center"/>
          </w:tcPr>
          <w:p w:rsidR="00846BB9" w:rsidRPr="00846BB9" w:rsidRDefault="00846BB9" w:rsidP="00846BB9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846BB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NO</w:t>
            </w:r>
          </w:p>
        </w:tc>
      </w:tr>
    </w:tbl>
    <w:p w:rsidR="00C85F53" w:rsidRDefault="00C85F53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:rsidR="00C85F53" w:rsidRDefault="008B1C9C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To complete the Telehealth Video Investment Decision Support Tool, visit </w:t>
      </w:r>
      <w:hyperlink r:id="rId9" w:history="1">
        <w:r w:rsidRPr="008B1C9C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http:\\telehealthprocureguide.health.vic.gov.au</w:t>
        </w:r>
      </w:hyperlink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:rsidR="008B1C9C" w:rsidRDefault="008B1C9C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:rsidR="00C85F53" w:rsidRDefault="00C85F53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:rsidR="00C85F53" w:rsidRDefault="00C85F53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:rsidR="00F75B8C" w:rsidRPr="00B00C27" w:rsidRDefault="00F75B8C">
      <w:pPr>
        <w:rPr>
          <w:rFonts w:ascii="Arial" w:eastAsia="Times New Roman" w:hAnsi="Arial" w:cs="Arial"/>
          <w:sz w:val="24"/>
          <w:szCs w:val="24"/>
          <w:lang w:eastAsia="en-AU"/>
        </w:rPr>
      </w:pPr>
    </w:p>
    <w:sectPr w:rsidR="00F75B8C" w:rsidRPr="00B00C27" w:rsidSect="00F26BED">
      <w:headerReference w:type="default" r:id="rId10"/>
      <w:foot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6E" w:rsidRDefault="00EB2B6E" w:rsidP="00C85F53">
      <w:pPr>
        <w:spacing w:after="0" w:line="240" w:lineRule="auto"/>
      </w:pPr>
      <w:r>
        <w:separator/>
      </w:r>
    </w:p>
  </w:endnote>
  <w:endnote w:type="continuationSeparator" w:id="0">
    <w:p w:rsidR="00EB2B6E" w:rsidRDefault="00EB2B6E" w:rsidP="00C8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6"/>
    </w:tblGrid>
    <w:tr w:rsidR="00EB2B6E" w:rsidTr="00DE0AB3">
      <w:tc>
        <w:tcPr>
          <w:tcW w:w="918" w:type="dxa"/>
        </w:tcPr>
        <w:p w:rsidR="00EB2B6E" w:rsidRDefault="00EB2B6E" w:rsidP="00730D17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1125B" w:rsidRPr="0061125B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  <w:vAlign w:val="bottom"/>
        </w:tcPr>
        <w:p w:rsidR="00EB2B6E" w:rsidRDefault="00EB2B6E" w:rsidP="00DE0AB3">
          <w:pPr>
            <w:pStyle w:val="PlainText"/>
            <w:jc w:val="right"/>
          </w:pPr>
          <w:r>
            <w:t>http:\\telehealthprocureguide.health.vic.gov.au</w:t>
          </w:r>
        </w:p>
      </w:tc>
    </w:tr>
  </w:tbl>
  <w:p w:rsidR="00EB2B6E" w:rsidRDefault="00EB2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6E" w:rsidRDefault="00EB2B6E" w:rsidP="00C85F53">
      <w:pPr>
        <w:spacing w:after="0" w:line="240" w:lineRule="auto"/>
      </w:pPr>
      <w:r>
        <w:separator/>
      </w:r>
    </w:p>
  </w:footnote>
  <w:footnote w:type="continuationSeparator" w:id="0">
    <w:p w:rsidR="00EB2B6E" w:rsidRDefault="00EB2B6E" w:rsidP="00C8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0A" w:rsidRPr="0000570A" w:rsidRDefault="0000570A">
    <w:pPr>
      <w:pStyle w:val="Header"/>
      <w:rPr>
        <w:sz w:val="16"/>
      </w:rPr>
    </w:pPr>
    <w:r w:rsidRPr="0000570A">
      <w:rPr>
        <w:bCs/>
        <w:lang w:eastAsia="en-AU"/>
      </w:rPr>
      <w:t xml:space="preserve">TELEHEALTH </w:t>
    </w:r>
    <w:r w:rsidRPr="0000570A">
      <w:rPr>
        <w:rFonts w:eastAsia="Times New Roman"/>
        <w:lang w:eastAsia="en-AU"/>
      </w:rPr>
      <w:t>VIDEO INVESTMENT DECISION SUPPORT TOOL</w:t>
    </w:r>
  </w:p>
  <w:p w:rsidR="0000570A" w:rsidRDefault="00005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8CF"/>
    <w:multiLevelType w:val="hybridMultilevel"/>
    <w:tmpl w:val="58FA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95226"/>
    <w:multiLevelType w:val="hybridMultilevel"/>
    <w:tmpl w:val="7AE87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02FEC"/>
    <w:multiLevelType w:val="hybridMultilevel"/>
    <w:tmpl w:val="53206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8C"/>
    <w:rsid w:val="0000570A"/>
    <w:rsid w:val="00077B4E"/>
    <w:rsid w:val="00166CF6"/>
    <w:rsid w:val="004C5E13"/>
    <w:rsid w:val="005C5DE3"/>
    <w:rsid w:val="0061125B"/>
    <w:rsid w:val="00647A10"/>
    <w:rsid w:val="00730D17"/>
    <w:rsid w:val="007564BB"/>
    <w:rsid w:val="00846BB9"/>
    <w:rsid w:val="008B1C9C"/>
    <w:rsid w:val="008D73F9"/>
    <w:rsid w:val="009055F9"/>
    <w:rsid w:val="009852BB"/>
    <w:rsid w:val="00B00C27"/>
    <w:rsid w:val="00C85F53"/>
    <w:rsid w:val="00DE0AB3"/>
    <w:rsid w:val="00E458A3"/>
    <w:rsid w:val="00E46180"/>
    <w:rsid w:val="00EB2B6E"/>
    <w:rsid w:val="00F26BED"/>
    <w:rsid w:val="00F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53"/>
  </w:style>
  <w:style w:type="paragraph" w:styleId="Footer">
    <w:name w:val="footer"/>
    <w:basedOn w:val="Normal"/>
    <w:link w:val="FooterChar"/>
    <w:uiPriority w:val="99"/>
    <w:unhideWhenUsed/>
    <w:rsid w:val="00C85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53"/>
  </w:style>
  <w:style w:type="paragraph" w:styleId="BalloonText">
    <w:name w:val="Balloon Text"/>
    <w:basedOn w:val="Normal"/>
    <w:link w:val="BalloonTextChar"/>
    <w:uiPriority w:val="99"/>
    <w:semiHidden/>
    <w:unhideWhenUsed/>
    <w:rsid w:val="00C8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5F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852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7564B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564BB"/>
    <w:rPr>
      <w:rFonts w:eastAsiaTheme="minorEastAsia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DE0AB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0AB3"/>
    <w:rPr>
      <w:rFonts w:ascii="Calibri" w:hAnsi="Calibri" w:cs="Consolas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46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6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1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53"/>
  </w:style>
  <w:style w:type="paragraph" w:styleId="Footer">
    <w:name w:val="footer"/>
    <w:basedOn w:val="Normal"/>
    <w:link w:val="FooterChar"/>
    <w:uiPriority w:val="99"/>
    <w:unhideWhenUsed/>
    <w:rsid w:val="00C85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53"/>
  </w:style>
  <w:style w:type="paragraph" w:styleId="BalloonText">
    <w:name w:val="Balloon Text"/>
    <w:basedOn w:val="Normal"/>
    <w:link w:val="BalloonTextChar"/>
    <w:uiPriority w:val="99"/>
    <w:semiHidden/>
    <w:unhideWhenUsed/>
    <w:rsid w:val="00C8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5F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9852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7564B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564BB"/>
    <w:rPr>
      <w:rFonts w:eastAsiaTheme="minorEastAsia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DE0AB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0AB3"/>
    <w:rPr>
      <w:rFonts w:ascii="Calibri" w:hAnsi="Calibri" w:cs="Consolas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461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6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elehealthprocureguide.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50BC7-07D7-429E-9B1C-03982830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TELEHEALTH TOOLKIT</vt:lpstr>
    </vt:vector>
  </TitlesOfParts>
  <Company>Alfred Health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TOOLKIT</dc:title>
  <dc:creator>Sonia Jong</dc:creator>
  <cp:lastModifiedBy>Sonia Jong</cp:lastModifiedBy>
  <cp:revision>16</cp:revision>
  <dcterms:created xsi:type="dcterms:W3CDTF">2014-09-16T01:01:00Z</dcterms:created>
  <dcterms:modified xsi:type="dcterms:W3CDTF">2014-10-13T21:55:00Z</dcterms:modified>
</cp:coreProperties>
</file>